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P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0C60FF" w:rsidRDefault="000C60FF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540AF0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ГУО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1A49A1">
        <w:rPr>
          <w:rFonts w:ascii="Times New Roman" w:hAnsi="Times New Roman"/>
          <w:bCs/>
          <w:sz w:val="24"/>
          <w:szCs w:val="24"/>
        </w:rPr>
        <w:t>2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991597">
        <w:rPr>
          <w:rFonts w:ascii="Times New Roman" w:hAnsi="Times New Roman"/>
          <w:bCs/>
          <w:sz w:val="24"/>
          <w:szCs w:val="24"/>
        </w:rPr>
        <w:t>п</w:t>
      </w:r>
      <w:r w:rsidR="00991597" w:rsidRPr="00991597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предпроектной (</w:t>
      </w:r>
      <w:proofErr w:type="spellStart"/>
      <w:r w:rsidR="00991597" w:rsidRPr="00991597">
        <w:rPr>
          <w:rFonts w:ascii="Times New Roman" w:hAnsi="Times New Roman"/>
          <w:bCs/>
          <w:sz w:val="24"/>
          <w:szCs w:val="24"/>
        </w:rPr>
        <w:t>предынвестиционной</w:t>
      </w:r>
      <w:proofErr w:type="spellEnd"/>
      <w:r w:rsidR="00991597" w:rsidRPr="00991597">
        <w:rPr>
          <w:rFonts w:ascii="Times New Roman" w:hAnsi="Times New Roman"/>
          <w:bCs/>
          <w:sz w:val="24"/>
          <w:szCs w:val="24"/>
        </w:rPr>
        <w:t>) документации на застройку, изменениям, вносимым в нее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1A49A1"/>
    <w:rsid w:val="002F2F0C"/>
    <w:rsid w:val="003748CC"/>
    <w:rsid w:val="0048700F"/>
    <w:rsid w:val="00540AF0"/>
    <w:rsid w:val="00681F0D"/>
    <w:rsid w:val="00991597"/>
    <w:rsid w:val="00AB5578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37AA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11</cp:revision>
  <cp:lastPrinted>2022-04-11T06:21:00Z</cp:lastPrinted>
  <dcterms:created xsi:type="dcterms:W3CDTF">2022-04-11T14:29:00Z</dcterms:created>
  <dcterms:modified xsi:type="dcterms:W3CDTF">2024-01-18T10:03:00Z</dcterms:modified>
</cp:coreProperties>
</file>